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fldChar w:fldCharType="begin"/>
      </w:r>
      <w:r w:rsidRPr="009A6596">
        <w:rPr>
          <w:rFonts w:ascii="Times New Roman" w:eastAsia="Times New Roman" w:hAnsi="Times New Roman" w:cs="Times New Roman"/>
          <w:sz w:val="24"/>
          <w:szCs w:val="24"/>
        </w:rPr>
        <w:instrText xml:space="preserve"> HYPERLINK "http://billmoyers.com/category/what-matters-today/connecting-the-dots/" </w:instrText>
      </w:r>
      <w:r w:rsidRPr="009A6596">
        <w:rPr>
          <w:rFonts w:ascii="Times New Roman" w:eastAsia="Times New Roman" w:hAnsi="Times New Roman" w:cs="Times New Roman"/>
          <w:sz w:val="24"/>
          <w:szCs w:val="24"/>
        </w:rPr>
        <w:fldChar w:fldCharType="separate"/>
      </w:r>
      <w:r w:rsidRPr="009A6596">
        <w:rPr>
          <w:rFonts w:ascii="Times New Roman" w:eastAsia="Times New Roman" w:hAnsi="Times New Roman" w:cs="Times New Roman"/>
          <w:color w:val="0000FF"/>
          <w:sz w:val="24"/>
          <w:szCs w:val="24"/>
          <w:u w:val="single"/>
        </w:rPr>
        <w:t>Connecting the Dots</w:t>
      </w:r>
      <w:r w:rsidRPr="009A6596">
        <w:rPr>
          <w:rFonts w:ascii="Times New Roman" w:eastAsia="Times New Roman" w:hAnsi="Times New Roman" w:cs="Times New Roman"/>
          <w:sz w:val="24"/>
          <w:szCs w:val="24"/>
        </w:rPr>
        <w:fldChar w:fldCharType="end"/>
      </w:r>
    </w:p>
    <w:p w:rsidR="009A6596" w:rsidRPr="009A6596" w:rsidRDefault="009A6596" w:rsidP="009A659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A6596">
        <w:rPr>
          <w:rFonts w:ascii="Times New Roman" w:eastAsia="Times New Roman" w:hAnsi="Times New Roman" w:cs="Times New Roman"/>
          <w:b/>
          <w:bCs/>
          <w:kern w:val="36"/>
          <w:sz w:val="48"/>
          <w:szCs w:val="48"/>
        </w:rPr>
        <w:t>Deconstructing PISA: Implications for Education Reform and Fighting Poverty</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January 23, 2014</w:t>
      </w:r>
    </w:p>
    <w:p w:rsidR="009A6596" w:rsidRPr="009A6596" w:rsidRDefault="009A6596" w:rsidP="009A6596">
      <w:pPr>
        <w:spacing w:after="0" w:line="240" w:lineRule="auto"/>
        <w:rPr>
          <w:rFonts w:ascii="Times New Roman" w:eastAsia="Times New Roman" w:hAnsi="Times New Roman" w:cs="Times New Roman"/>
          <w:sz w:val="24"/>
          <w:szCs w:val="24"/>
        </w:rPr>
      </w:pPr>
      <w:proofErr w:type="gramStart"/>
      <w:r w:rsidRPr="009A6596">
        <w:rPr>
          <w:rFonts w:ascii="Times New Roman" w:eastAsia="Times New Roman" w:hAnsi="Times New Roman" w:cs="Times New Roman"/>
          <w:sz w:val="24"/>
          <w:szCs w:val="24"/>
        </w:rPr>
        <w:t>by</w:t>
      </w:r>
      <w:proofErr w:type="gramEnd"/>
      <w:r w:rsidRPr="009A6596">
        <w:rPr>
          <w:rFonts w:ascii="Times New Roman" w:eastAsia="Times New Roman" w:hAnsi="Times New Roman" w:cs="Times New Roman"/>
          <w:sz w:val="24"/>
          <w:szCs w:val="24"/>
        </w:rPr>
        <w:t xml:space="preserve"> Elaine Weiss and Thomas W. </w:t>
      </w:r>
      <w:proofErr w:type="spellStart"/>
      <w:r w:rsidRPr="009A6596">
        <w:rPr>
          <w:rFonts w:ascii="Times New Roman" w:eastAsia="Times New Roman" w:hAnsi="Times New Roman" w:cs="Times New Roman"/>
          <w:sz w:val="24"/>
          <w:szCs w:val="24"/>
        </w:rPr>
        <w:t>Payzant</w:t>
      </w:r>
      <w:proofErr w:type="spellEnd"/>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vanish/>
          <w:sz w:val="24"/>
          <w:szCs w:val="24"/>
        </w:rPr>
      </w:pP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vanish/>
          <w:sz w:val="24"/>
          <w:szCs w:val="24"/>
        </w:rPr>
        <w:pict/>
      </w: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9A6596" w:rsidRPr="009A6596" w:rsidRDefault="009A6596" w:rsidP="009A659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i/>
          <w:iCs/>
          <w:sz w:val="24"/>
          <w:szCs w:val="24"/>
        </w:rPr>
        <w:t>This post first appeared on</w:t>
      </w:r>
      <w:r w:rsidRPr="009A6596">
        <w:rPr>
          <w:rFonts w:ascii="Times New Roman" w:eastAsia="Times New Roman" w:hAnsi="Times New Roman" w:cs="Times New Roman"/>
          <w:sz w:val="24"/>
          <w:szCs w:val="24"/>
        </w:rPr>
        <w:t xml:space="preserve"> </w:t>
      </w:r>
      <w:hyperlink r:id="rId5" w:tgtFrame="_blank" w:history="1">
        <w:r w:rsidRPr="009A6596">
          <w:rPr>
            <w:rFonts w:ascii="Times New Roman" w:eastAsia="Times New Roman" w:hAnsi="Times New Roman" w:cs="Times New Roman"/>
            <w:color w:val="0000FF"/>
            <w:sz w:val="24"/>
            <w:szCs w:val="24"/>
            <w:u w:val="single"/>
          </w:rPr>
          <w:t>The Huffington Post.</w:t>
        </w:r>
      </w:hyperlink>
    </w:p>
    <w:p w:rsidR="009A6596" w:rsidRPr="009A6596" w:rsidRDefault="009A6596" w:rsidP="009A6596">
      <w:pPr>
        <w:spacing w:after="0" w:line="240" w:lineRule="auto"/>
        <w:rPr>
          <w:rFonts w:ascii="Times New Roman" w:eastAsia="Times New Roman" w:hAnsi="Times New Roman" w:cs="Times New Roman"/>
          <w:sz w:val="24"/>
          <w:szCs w:val="24"/>
        </w:rPr>
      </w:pPr>
      <w:hyperlink r:id="rId6" w:tgtFrame="_blank" w:history="1">
        <w:r w:rsidRPr="009A6596">
          <w:rPr>
            <w:rFonts w:ascii="Times New Roman" w:eastAsia="Times New Roman" w:hAnsi="Times New Roman" w:cs="Times New Roman"/>
            <w:color w:val="0000FF"/>
            <w:sz w:val="24"/>
            <w:szCs w:val="24"/>
            <w:u w:val="single"/>
          </w:rPr>
          <w:t>&amp;lt;img src="http://cdn.billmoyers.com/wp-content/uploads/2014/01/pisa-scores-top10-economist-chart.png" alt="PISA rankings for top 10 countries' math scores 2012. Credit: The Economist" title="PISA rankings for top 10 countries math scores 2012 - The Economist" width="275" height="261" class="size-full wp-image-57699" /&amp;</w:t>
        </w:r>
        <w:proofErr w:type="spellStart"/>
        <w:r w:rsidRPr="009A6596">
          <w:rPr>
            <w:rFonts w:ascii="Times New Roman" w:eastAsia="Times New Roman" w:hAnsi="Times New Roman" w:cs="Times New Roman"/>
            <w:color w:val="0000FF"/>
            <w:sz w:val="24"/>
            <w:szCs w:val="24"/>
            <w:u w:val="single"/>
          </w:rPr>
          <w:t>gt</w:t>
        </w:r>
        <w:proofErr w:type="spellEnd"/>
        <w:r w:rsidRPr="009A6596">
          <w:rPr>
            <w:rFonts w:ascii="Times New Roman" w:eastAsia="Times New Roman" w:hAnsi="Times New Roman" w:cs="Times New Roman"/>
            <w:color w:val="0000FF"/>
            <w:sz w:val="24"/>
            <w:szCs w:val="24"/>
            <w:u w:val="single"/>
          </w:rPr>
          <w:t>;</w:t>
        </w:r>
      </w:hyperlink>
      <w:r w:rsidRPr="009A6596">
        <w:rPr>
          <w:rFonts w:ascii="Times New Roman" w:eastAsia="Times New Roman" w:hAnsi="Times New Roman" w:cs="Times New Roman"/>
          <w:sz w:val="24"/>
          <w:szCs w:val="24"/>
        </w:rPr>
        <w:t xml:space="preserve"> </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br/>
        <w:t xml:space="preserve">PISA rankings for top 10 countries' math scores. The US scored 36th place. Credit: </w:t>
      </w:r>
      <w:r w:rsidRPr="009A6596">
        <w:rPr>
          <w:rFonts w:ascii="Times New Roman" w:eastAsia="Times New Roman" w:hAnsi="Times New Roman" w:cs="Times New Roman"/>
          <w:i/>
          <w:iCs/>
          <w:sz w:val="24"/>
          <w:szCs w:val="24"/>
        </w:rPr>
        <w:t>The Economist</w:t>
      </w:r>
      <w:r w:rsidRPr="009A6596">
        <w:rPr>
          <w:rFonts w:ascii="Times New Roman" w:eastAsia="Times New Roman" w:hAnsi="Times New Roman" w:cs="Times New Roman"/>
          <w:sz w:val="24"/>
          <w:szCs w:val="24"/>
        </w:rPr>
        <w:t xml:space="preserve">. Click graphic to see more charts at </w:t>
      </w:r>
      <w:hyperlink r:id="rId7" w:tgtFrame="_blank" w:history="1">
        <w:r w:rsidRPr="009A6596">
          <w:rPr>
            <w:rFonts w:ascii="Times New Roman" w:eastAsia="Times New Roman" w:hAnsi="Times New Roman" w:cs="Times New Roman"/>
            <w:i/>
            <w:iCs/>
            <w:color w:val="0000FF"/>
            <w:sz w:val="24"/>
            <w:szCs w:val="24"/>
            <w:u w:val="single"/>
          </w:rPr>
          <w:t>The Economist</w:t>
        </w:r>
        <w:r w:rsidRPr="009A6596">
          <w:rPr>
            <w:rFonts w:ascii="Times New Roman" w:eastAsia="Times New Roman" w:hAnsi="Times New Roman" w:cs="Times New Roman"/>
            <w:color w:val="0000FF"/>
            <w:sz w:val="24"/>
            <w:szCs w:val="24"/>
            <w:u w:val="single"/>
          </w:rPr>
          <w:t xml:space="preserve"> website</w:t>
        </w:r>
      </w:hyperlink>
      <w:r w:rsidRPr="009A6596">
        <w:rPr>
          <w:rFonts w:ascii="Times New Roman" w:eastAsia="Times New Roman" w:hAnsi="Times New Roman" w:cs="Times New Roman"/>
          <w:sz w:val="24"/>
          <w:szCs w:val="24"/>
        </w:rPr>
        <w:t>.</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 xml:space="preserve">Every three years, American policymakers eagerly anticipate the release of scores for the </w:t>
      </w:r>
      <w:proofErr w:type="spellStart"/>
      <w:r w:rsidRPr="009A6596">
        <w:rPr>
          <w:rFonts w:ascii="Times New Roman" w:eastAsia="Times New Roman" w:hAnsi="Times New Roman" w:cs="Times New Roman"/>
          <w:sz w:val="24"/>
          <w:szCs w:val="24"/>
        </w:rPr>
        <w:t>Programme</w:t>
      </w:r>
      <w:proofErr w:type="spellEnd"/>
      <w:r w:rsidRPr="009A6596">
        <w:rPr>
          <w:rFonts w:ascii="Times New Roman" w:eastAsia="Times New Roman" w:hAnsi="Times New Roman" w:cs="Times New Roman"/>
          <w:sz w:val="24"/>
          <w:szCs w:val="24"/>
        </w:rPr>
        <w:t xml:space="preserve"> for International Student Assessment (PISA). While any single test, no matter how strong, can explain only a limited amount about our education system, PISA provides some unique insights, testing students’ ability to apply knowledge and skills both in and out of school. It is taken only by 15-year-olds, making it a decent proxy for the “college-and-career readiness” that is the focus of current debates. </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The 2013 headline is basically that the United States falls right in the middle of the pack, as it has for several decades. The US Department of Education and its allies used those </w:t>
      </w:r>
      <w:hyperlink r:id="rId8" w:tgtFrame="_hplink" w:history="1">
        <w:r w:rsidRPr="009A6596">
          <w:rPr>
            <w:rFonts w:ascii="Times New Roman" w:eastAsia="Times New Roman" w:hAnsi="Times New Roman" w:cs="Times New Roman"/>
            <w:color w:val="0000FF"/>
            <w:sz w:val="24"/>
            <w:szCs w:val="24"/>
            <w:u w:val="single"/>
          </w:rPr>
          <w:t>rankings</w:t>
        </w:r>
      </w:hyperlink>
      <w:r w:rsidRPr="009A6596">
        <w:rPr>
          <w:rFonts w:ascii="Times New Roman" w:eastAsia="Times New Roman" w:hAnsi="Times New Roman" w:cs="Times New Roman"/>
          <w:sz w:val="24"/>
          <w:szCs w:val="24"/>
        </w:rPr>
        <w:t xml:space="preserve"> to argue that US schools are “stagnating” and to advance specific reforms it says will fix them. However, average scores may obscure and confuse more than they inform. Indeed, scores from individual states that have their own PISA rankings offer more policy-relevant insight than overall US rankings. This makes sense — US education looks more like a diverse patchwork than a unified system. Public investments in schools, and in students and their families, vary greatly across states, as do other policies that may boost or depress scores. Luckily, this year, three states received individual PISA rankings — as if they were independent countries. This can help us connect the dots between those disparities and scores. </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lastRenderedPageBreak/>
        <w:t>Massachusetts is the good news story. If it were its own country, it would rank </w:t>
      </w:r>
      <w:hyperlink r:id="rId9" w:tgtFrame="_hplink" w:history="1">
        <w:r w:rsidRPr="009A6596">
          <w:rPr>
            <w:rFonts w:ascii="Times New Roman" w:eastAsia="Times New Roman" w:hAnsi="Times New Roman" w:cs="Times New Roman"/>
            <w:color w:val="0000FF"/>
            <w:sz w:val="24"/>
            <w:szCs w:val="24"/>
            <w:u w:val="single"/>
          </w:rPr>
          <w:t>sixth in reading</w:t>
        </w:r>
      </w:hyperlink>
      <w:r w:rsidRPr="009A6596">
        <w:rPr>
          <w:rFonts w:ascii="Times New Roman" w:eastAsia="Times New Roman" w:hAnsi="Times New Roman" w:cs="Times New Roman"/>
          <w:sz w:val="24"/>
          <w:szCs w:val="24"/>
        </w:rPr>
        <w:t xml:space="preserve"> of 65 countries and economies included, behind only Singapore, Japan, Korea and the Chinese regions of Shanghai and Hong Kong. Its students rank just above Finland and Canada, some of the world’s best readers. Though its math scores are slightly lower, Massachusetts keeps company with Belgium and Germany and is only slightly behind Finland and Canada, ranking 16 of 65. In science, Massachusetts ranks 11th, ahead of Canada and Germany. Connecticut, the second of three states with its own scores, falls just below Massachusetts, ranking 9th in reading, 18th in math and 17th in science. </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Equitable school funding, which the PISA study finds to boost test scores, varies greatly across states.</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On the other hand, Florida’s students rank below the US average in all three categories. They are 27th in reading, ahead of Austria, but behind the Czech Republic. In science, Florida is 38th, behind Spain, Portugal and Italy, and just ahead of Slovenia. Florida’s math scores are the most troubling. If it were a country, it would rank 41st of 65, behind Croatia and ten points lower than Hungary.</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How might these more nuanced findings inform policy? The Department of Education advocates raising academic standards, using student test scores to evaluate teachers, and implementing school “turnaround” policies that include firing staff, closing schools and converting them to charters. More recently, it has made quality early childhood education a high priority. If Massachusetts is a good indicator of what works, high standards help. However, attaining the benefits of high standards is contingent on first laying a </w:t>
      </w:r>
      <w:hyperlink r:id="rId10" w:tgtFrame="_hplink" w:history="1">
        <w:r w:rsidRPr="009A6596">
          <w:rPr>
            <w:rFonts w:ascii="Times New Roman" w:eastAsia="Times New Roman" w:hAnsi="Times New Roman" w:cs="Times New Roman"/>
            <w:color w:val="0000FF"/>
            <w:sz w:val="24"/>
            <w:szCs w:val="24"/>
            <w:u w:val="single"/>
          </w:rPr>
          <w:t>foundation of comprehensive student, family and school supports</w:t>
        </w:r>
      </w:hyperlink>
      <w:r w:rsidRPr="009A6596">
        <w:rPr>
          <w:rFonts w:ascii="Times New Roman" w:eastAsia="Times New Roman" w:hAnsi="Times New Roman" w:cs="Times New Roman"/>
          <w:sz w:val="24"/>
          <w:szCs w:val="24"/>
        </w:rPr>
        <w:t>. The same is true of turning around schools — years of investment in access to quality pre-kindergarten programs, physical and mental health care and extra support for teachers serving in struggling schools appear to be key ingredients in the state’s recipe for success.</w:t>
      </w:r>
    </w:p>
    <w:p w:rsidR="009A6596" w:rsidRPr="009A6596" w:rsidRDefault="009A6596" w:rsidP="009A6596">
      <w:pPr>
        <w:spacing w:after="0" w:line="240" w:lineRule="auto"/>
        <w:rPr>
          <w:rFonts w:ascii="Times New Roman" w:eastAsia="Times New Roman" w:hAnsi="Times New Roman" w:cs="Times New Roman"/>
          <w:sz w:val="24"/>
          <w:szCs w:val="24"/>
        </w:rPr>
      </w:pPr>
      <w:hyperlink r:id="rId11" w:history="1">
        <w:r w:rsidRPr="009A6596">
          <w:rPr>
            <w:rFonts w:ascii="Times New Roman" w:eastAsia="Times New Roman" w:hAnsi="Times New Roman" w:cs="Times New Roman"/>
            <w:color w:val="0000FF"/>
            <w:sz w:val="24"/>
            <w:szCs w:val="24"/>
            <w:u w:val="single"/>
          </w:rPr>
          <w:t>&amp;lt;img class="size-medium wp-image-49700" title="AP57207619344" src="http://cdn.billmoyers.com/wp-content/uploads/2013/11/AP57207619344-300x168.jpg" alt="" width="300" height="168" /&amp;</w:t>
        </w:r>
        <w:proofErr w:type="spellStart"/>
        <w:r w:rsidRPr="009A6596">
          <w:rPr>
            <w:rFonts w:ascii="Times New Roman" w:eastAsia="Times New Roman" w:hAnsi="Times New Roman" w:cs="Times New Roman"/>
            <w:color w:val="0000FF"/>
            <w:sz w:val="24"/>
            <w:szCs w:val="24"/>
            <w:u w:val="single"/>
          </w:rPr>
          <w:t>gt</w:t>
        </w:r>
        <w:proofErr w:type="spellEnd"/>
        <w:r w:rsidRPr="009A6596">
          <w:rPr>
            <w:rFonts w:ascii="Times New Roman" w:eastAsia="Times New Roman" w:hAnsi="Times New Roman" w:cs="Times New Roman"/>
            <w:color w:val="0000FF"/>
            <w:sz w:val="24"/>
            <w:szCs w:val="24"/>
            <w:u w:val="single"/>
          </w:rPr>
          <w:t>;</w:t>
        </w:r>
      </w:hyperlink>
      <w:r w:rsidRPr="009A6596">
        <w:rPr>
          <w:rFonts w:ascii="Times New Roman" w:eastAsia="Times New Roman" w:hAnsi="Times New Roman" w:cs="Times New Roman"/>
          <w:sz w:val="24"/>
          <w:szCs w:val="24"/>
        </w:rPr>
        <w:t xml:space="preserve"> </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proofErr w:type="spellStart"/>
      <w:r w:rsidRPr="009A6596">
        <w:rPr>
          <w:rFonts w:ascii="Times New Roman" w:eastAsia="Times New Roman" w:hAnsi="Times New Roman" w:cs="Times New Roman"/>
          <w:sz w:val="24"/>
          <w:szCs w:val="24"/>
        </w:rPr>
        <w:t>Noa</w:t>
      </w:r>
      <w:proofErr w:type="spellEnd"/>
      <w:r w:rsidRPr="009A6596">
        <w:rPr>
          <w:rFonts w:ascii="Times New Roman" w:eastAsia="Times New Roman" w:hAnsi="Times New Roman" w:cs="Times New Roman"/>
          <w:sz w:val="24"/>
          <w:szCs w:val="24"/>
        </w:rPr>
        <w:t xml:space="preserve"> </w:t>
      </w:r>
      <w:proofErr w:type="spellStart"/>
      <w:r w:rsidRPr="009A6596">
        <w:rPr>
          <w:rFonts w:ascii="Times New Roman" w:eastAsia="Times New Roman" w:hAnsi="Times New Roman" w:cs="Times New Roman"/>
          <w:sz w:val="24"/>
          <w:szCs w:val="24"/>
        </w:rPr>
        <w:t>Bashuk</w:t>
      </w:r>
      <w:proofErr w:type="spellEnd"/>
      <w:r w:rsidRPr="009A6596">
        <w:rPr>
          <w:rFonts w:ascii="Times New Roman" w:eastAsia="Times New Roman" w:hAnsi="Times New Roman" w:cs="Times New Roman"/>
          <w:sz w:val="24"/>
          <w:szCs w:val="24"/>
        </w:rPr>
        <w:t xml:space="preserve"> uses a tablet to follow along with her teacher in an eighth grade Spanish class at </w:t>
      </w:r>
      <w:proofErr w:type="spellStart"/>
      <w:r w:rsidRPr="009A6596">
        <w:rPr>
          <w:rFonts w:ascii="Times New Roman" w:eastAsia="Times New Roman" w:hAnsi="Times New Roman" w:cs="Times New Roman"/>
          <w:sz w:val="24"/>
          <w:szCs w:val="24"/>
        </w:rPr>
        <w:t>Autrey</w:t>
      </w:r>
      <w:proofErr w:type="spellEnd"/>
      <w:r w:rsidRPr="009A6596">
        <w:rPr>
          <w:rFonts w:ascii="Times New Roman" w:eastAsia="Times New Roman" w:hAnsi="Times New Roman" w:cs="Times New Roman"/>
          <w:sz w:val="24"/>
          <w:szCs w:val="24"/>
        </w:rPr>
        <w:t xml:space="preserve"> Mill Middle School in Johns Creek, Ga. on Thursday, May 9, 2013. (AP Photo/John </w:t>
      </w:r>
      <w:proofErr w:type="spellStart"/>
      <w:r w:rsidRPr="009A6596">
        <w:rPr>
          <w:rFonts w:ascii="Times New Roman" w:eastAsia="Times New Roman" w:hAnsi="Times New Roman" w:cs="Times New Roman"/>
          <w:sz w:val="24"/>
          <w:szCs w:val="24"/>
        </w:rPr>
        <w:t>Bazemore</w:t>
      </w:r>
      <w:proofErr w:type="spellEnd"/>
      <w:r w:rsidRPr="009A6596">
        <w:rPr>
          <w:rFonts w:ascii="Times New Roman" w:eastAsia="Times New Roman" w:hAnsi="Times New Roman" w:cs="Times New Roman"/>
          <w:sz w:val="24"/>
          <w:szCs w:val="24"/>
        </w:rPr>
        <w:t>)</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Florida looks very different. Not only teachers, but entire schools are evaluated using test scores. Indeed, the state recruited Tony Bennett to bring his Indiana-based concept of </w:t>
      </w:r>
      <w:hyperlink r:id="rId12" w:tgtFrame="_hplink" w:history="1">
        <w:r w:rsidRPr="009A6596">
          <w:rPr>
            <w:rFonts w:ascii="Times New Roman" w:eastAsia="Times New Roman" w:hAnsi="Times New Roman" w:cs="Times New Roman"/>
            <w:color w:val="0000FF"/>
            <w:sz w:val="24"/>
            <w:szCs w:val="24"/>
            <w:u w:val="single"/>
          </w:rPr>
          <w:t>giving schools A-to-F grades</w:t>
        </w:r>
      </w:hyperlink>
      <w:r w:rsidRPr="009A6596">
        <w:rPr>
          <w:rFonts w:ascii="Times New Roman" w:eastAsia="Times New Roman" w:hAnsi="Times New Roman" w:cs="Times New Roman"/>
          <w:sz w:val="24"/>
          <w:szCs w:val="24"/>
        </w:rPr>
        <w:t>. It has the </w:t>
      </w:r>
      <w:hyperlink r:id="rId13" w:tgtFrame="_hplink" w:history="1">
        <w:r w:rsidRPr="009A6596">
          <w:rPr>
            <w:rFonts w:ascii="Times New Roman" w:eastAsia="Times New Roman" w:hAnsi="Times New Roman" w:cs="Times New Roman"/>
            <w:color w:val="0000FF"/>
            <w:sz w:val="24"/>
            <w:szCs w:val="24"/>
            <w:u w:val="single"/>
          </w:rPr>
          <w:t>seventh-highest</w:t>
        </w:r>
      </w:hyperlink>
      <w:r w:rsidRPr="009A6596">
        <w:rPr>
          <w:rFonts w:ascii="Times New Roman" w:eastAsia="Times New Roman" w:hAnsi="Times New Roman" w:cs="Times New Roman"/>
          <w:sz w:val="24"/>
          <w:szCs w:val="24"/>
        </w:rPr>
        <w:t> percentage of students in charter schools, nearly six percent, versus a national average of 3.6 percent. It has engaged in a </w:t>
      </w:r>
      <w:hyperlink r:id="rId14" w:tgtFrame="_hplink" w:history="1">
        <w:r w:rsidRPr="009A6596">
          <w:rPr>
            <w:rFonts w:ascii="Times New Roman" w:eastAsia="Times New Roman" w:hAnsi="Times New Roman" w:cs="Times New Roman"/>
            <w:color w:val="0000FF"/>
            <w:sz w:val="24"/>
            <w:szCs w:val="24"/>
            <w:u w:val="single"/>
          </w:rPr>
          <w:t>vigorous campaign to close schools</w:t>
        </w:r>
      </w:hyperlink>
      <w:r w:rsidRPr="009A6596">
        <w:rPr>
          <w:rFonts w:ascii="Times New Roman" w:eastAsia="Times New Roman" w:hAnsi="Times New Roman" w:cs="Times New Roman"/>
          <w:sz w:val="24"/>
          <w:szCs w:val="24"/>
        </w:rPr>
        <w:t> – most serving low-income and minority students. Its pre-kindergarten program, while large, is of such poor quality that Steve Barnett of the National Institute for Early Education Research </w:t>
      </w:r>
      <w:hyperlink r:id="rId15" w:tgtFrame="_hplink" w:history="1">
        <w:r w:rsidRPr="009A6596">
          <w:rPr>
            <w:rFonts w:ascii="Times New Roman" w:eastAsia="Times New Roman" w:hAnsi="Times New Roman" w:cs="Times New Roman"/>
            <w:color w:val="0000FF"/>
            <w:sz w:val="24"/>
            <w:szCs w:val="24"/>
            <w:u w:val="single"/>
          </w:rPr>
          <w:t>doubts it deserves the pre-k label</w:t>
        </w:r>
      </w:hyperlink>
      <w:r w:rsidRPr="009A6596">
        <w:rPr>
          <w:rFonts w:ascii="Times New Roman" w:eastAsia="Times New Roman" w:hAnsi="Times New Roman" w:cs="Times New Roman"/>
          <w:sz w:val="24"/>
          <w:szCs w:val="24"/>
        </w:rPr>
        <w:t xml:space="preserve">. </w:t>
      </w:r>
    </w:p>
    <w:p w:rsidR="009A6596" w:rsidRPr="009A6596" w:rsidRDefault="009A6596" w:rsidP="009A6596">
      <w:pPr>
        <w:spacing w:after="0" w:line="240" w:lineRule="auto"/>
        <w:jc w:val="center"/>
        <w:rPr>
          <w:rFonts w:ascii="Times New Roman" w:eastAsia="Times New Roman" w:hAnsi="Times New Roman" w:cs="Times New Roman"/>
          <w:sz w:val="24"/>
          <w:szCs w:val="24"/>
        </w:rPr>
      </w:pPr>
      <w:r w:rsidRPr="009A6596">
        <w:rPr>
          <w:rFonts w:ascii="Times New Roman" w:eastAsia="Times New Roman" w:hAnsi="Times New Roman" w:cs="Times New Roman"/>
          <w:b/>
          <w:bCs/>
          <w:sz w:val="24"/>
          <w:szCs w:val="24"/>
        </w:rPr>
        <w:t>Related:</w:t>
      </w:r>
      <w:r w:rsidRPr="009A6596">
        <w:rPr>
          <w:rFonts w:ascii="Times New Roman" w:eastAsia="Times New Roman" w:hAnsi="Times New Roman" w:cs="Times New Roman"/>
          <w:sz w:val="24"/>
          <w:szCs w:val="24"/>
        </w:rPr>
        <w:t xml:space="preserve"> </w:t>
      </w:r>
      <w:hyperlink r:id="rId16" w:history="1">
        <w:r w:rsidRPr="009A6596">
          <w:rPr>
            <w:rFonts w:ascii="Times New Roman" w:eastAsia="Times New Roman" w:hAnsi="Times New Roman" w:cs="Times New Roman"/>
            <w:color w:val="0000FF"/>
            <w:sz w:val="24"/>
            <w:szCs w:val="24"/>
            <w:u w:val="single"/>
          </w:rPr>
          <w:t>The Real 21st-Century Problem in Public Education is Poverty</w:t>
        </w:r>
      </w:hyperlink>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lastRenderedPageBreak/>
        <w:t>Another factor distinguishing these states is the average income of their residents. In 2011, Connecticut ranked 4th of the 50 states, with a </w:t>
      </w:r>
      <w:hyperlink r:id="rId17" w:tgtFrame="_hplink" w:history="1">
        <w:r w:rsidRPr="009A6596">
          <w:rPr>
            <w:rFonts w:ascii="Times New Roman" w:eastAsia="Times New Roman" w:hAnsi="Times New Roman" w:cs="Times New Roman"/>
            <w:color w:val="0000FF"/>
            <w:sz w:val="24"/>
            <w:szCs w:val="24"/>
            <w:u w:val="single"/>
          </w:rPr>
          <w:t>median household income of $65,753</w:t>
        </w:r>
      </w:hyperlink>
      <w:r w:rsidRPr="009A6596">
        <w:rPr>
          <w:rFonts w:ascii="Times New Roman" w:eastAsia="Times New Roman" w:hAnsi="Times New Roman" w:cs="Times New Roman"/>
          <w:sz w:val="24"/>
          <w:szCs w:val="24"/>
        </w:rPr>
        <w:t>, and Massachusetts was next, at $62,859. Florida, in contrast, ranked 37th, at just $44,299. While high income itself does not drive scores, it reflects parents’ education and employment and a range of resulting public and private choices that interact with one another to </w:t>
      </w:r>
      <w:hyperlink r:id="rId18" w:tgtFrame="_hplink" w:history="1">
        <w:r w:rsidRPr="009A6596">
          <w:rPr>
            <w:rFonts w:ascii="Times New Roman" w:eastAsia="Times New Roman" w:hAnsi="Times New Roman" w:cs="Times New Roman"/>
            <w:color w:val="0000FF"/>
            <w:sz w:val="24"/>
            <w:szCs w:val="24"/>
            <w:u w:val="single"/>
          </w:rPr>
          <w:t>strongly influence educational achievement</w:t>
        </w:r>
      </w:hyperlink>
      <w:r w:rsidRPr="009A6596">
        <w:rPr>
          <w:rFonts w:ascii="Times New Roman" w:eastAsia="Times New Roman" w:hAnsi="Times New Roman" w:cs="Times New Roman"/>
          <w:sz w:val="24"/>
          <w:szCs w:val="24"/>
        </w:rPr>
        <w:t>. Moreover, these large resource disparities are compounded by states’ decisions regarding how they are used. Equitable school funding, which the PISA study finds to boost test scores, also varies greatly across states. The </w:t>
      </w:r>
      <w:hyperlink r:id="rId19" w:tgtFrame="_hplink" w:history="1">
        <w:r w:rsidRPr="009A6596">
          <w:rPr>
            <w:rFonts w:ascii="Times New Roman" w:eastAsia="Times New Roman" w:hAnsi="Times New Roman" w:cs="Times New Roman"/>
            <w:color w:val="0000FF"/>
            <w:sz w:val="24"/>
            <w:szCs w:val="24"/>
            <w:u w:val="single"/>
          </w:rPr>
          <w:t>Education Law Center </w:t>
        </w:r>
      </w:hyperlink>
      <w:r w:rsidRPr="009A6596">
        <w:rPr>
          <w:rFonts w:ascii="Times New Roman" w:eastAsia="Times New Roman" w:hAnsi="Times New Roman" w:cs="Times New Roman"/>
          <w:sz w:val="24"/>
          <w:szCs w:val="24"/>
        </w:rPr>
        <w:t> puts Connecticut and Massachusetts slightly above average on equity, while Florida is one of only three states to receive poor grades on all four main indicators, making it among the very least equitable.</w:t>
      </w:r>
    </w:p>
    <w:p w:rsidR="009A6596" w:rsidRPr="009A6596" w:rsidRDefault="009A6596" w:rsidP="009A6596">
      <w:pPr>
        <w:spacing w:after="0" w:line="240" w:lineRule="auto"/>
        <w:jc w:val="center"/>
        <w:rPr>
          <w:rFonts w:ascii="Times New Roman" w:eastAsia="Times New Roman" w:hAnsi="Times New Roman" w:cs="Times New Roman"/>
          <w:sz w:val="24"/>
          <w:szCs w:val="24"/>
        </w:rPr>
      </w:pPr>
      <w:r w:rsidRPr="009A6596">
        <w:rPr>
          <w:rFonts w:ascii="Times New Roman" w:eastAsia="Times New Roman" w:hAnsi="Times New Roman" w:cs="Times New Roman"/>
          <w:b/>
          <w:bCs/>
          <w:sz w:val="24"/>
          <w:szCs w:val="24"/>
        </w:rPr>
        <w:t>Related:</w:t>
      </w:r>
      <w:r w:rsidRPr="009A6596">
        <w:rPr>
          <w:rFonts w:ascii="Times New Roman" w:eastAsia="Times New Roman" w:hAnsi="Times New Roman" w:cs="Times New Roman"/>
          <w:sz w:val="24"/>
          <w:szCs w:val="24"/>
        </w:rPr>
        <w:t xml:space="preserve"> </w:t>
      </w:r>
      <w:hyperlink r:id="rId20" w:history="1">
        <w:r w:rsidRPr="009A6596">
          <w:rPr>
            <w:rFonts w:ascii="Times New Roman" w:eastAsia="Times New Roman" w:hAnsi="Times New Roman" w:cs="Times New Roman"/>
            <w:color w:val="0000FF"/>
            <w:sz w:val="24"/>
            <w:szCs w:val="24"/>
            <w:u w:val="single"/>
          </w:rPr>
          <w:t>An Education Wish List for America</w:t>
        </w:r>
      </w:hyperlink>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 xml:space="preserve">These findings shine a spotlight on the opportunity gaps driving achievement gaps across states (and within them). They thus make a strong case for a </w:t>
      </w:r>
      <w:hyperlink r:id="rId21" w:tgtFrame="_hplink" w:history="1">
        <w:r w:rsidRPr="009A6596">
          <w:rPr>
            <w:rFonts w:ascii="Times New Roman" w:eastAsia="Times New Roman" w:hAnsi="Times New Roman" w:cs="Times New Roman"/>
            <w:color w:val="0000FF"/>
            <w:sz w:val="24"/>
            <w:szCs w:val="24"/>
            <w:u w:val="single"/>
          </w:rPr>
          <w:t>“Broader, Bolder Approach to Education”</w:t>
        </w:r>
      </w:hyperlink>
      <w:r w:rsidRPr="009A6596">
        <w:rPr>
          <w:rFonts w:ascii="Times New Roman" w:eastAsia="Times New Roman" w:hAnsi="Times New Roman" w:cs="Times New Roman"/>
          <w:sz w:val="24"/>
          <w:szCs w:val="24"/>
        </w:rPr>
        <w:t xml:space="preserve"> (a campaign of the Economic Policy Institute with which we are both affiliated); high-quality early childhood education, rigorous, enriching instruction for all students and comprehensive supports to help alleviate poverty-related impediments to learning. Equitable school funding can further narrow gaps. Education policies should not revolve around raising scores on PISA — or any test. But taking a page from the Massachusetts policy book — the broadest and boldest of any state — would improve the life prospects of disadvantaged students.</w:t>
      </w:r>
    </w:p>
    <w:p w:rsidR="009A6596" w:rsidRPr="009A6596" w:rsidRDefault="009A6596" w:rsidP="009A6596">
      <w:pPr>
        <w:spacing w:before="100" w:beforeAutospacing="1" w:after="100" w:afterAutospacing="1"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And if PISA scores go up too, that is certainly not a bad thing.</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sz w:val="24"/>
          <w:szCs w:val="24"/>
        </w:rPr>
        <w:t>&amp;</w:t>
      </w:r>
      <w:proofErr w:type="spellStart"/>
      <w:r w:rsidRPr="009A6596">
        <w:rPr>
          <w:rFonts w:ascii="Times New Roman" w:eastAsia="Times New Roman" w:hAnsi="Times New Roman" w:cs="Times New Roman"/>
          <w:sz w:val="24"/>
          <w:szCs w:val="24"/>
        </w:rPr>
        <w:t>lt</w:t>
      </w:r>
      <w:proofErr w:type="gramStart"/>
      <w:r w:rsidRPr="009A6596">
        <w:rPr>
          <w:rFonts w:ascii="Times New Roman" w:eastAsia="Times New Roman" w:hAnsi="Times New Roman" w:cs="Times New Roman"/>
          <w:sz w:val="24"/>
          <w:szCs w:val="24"/>
        </w:rPr>
        <w:t>;img</w:t>
      </w:r>
      <w:proofErr w:type="spellEnd"/>
      <w:proofErr w:type="gramEnd"/>
      <w:r w:rsidRPr="009A6596">
        <w:rPr>
          <w:rFonts w:ascii="Times New Roman" w:eastAsia="Times New Roman" w:hAnsi="Times New Roman" w:cs="Times New Roman"/>
          <w:sz w:val="24"/>
          <w:szCs w:val="24"/>
        </w:rPr>
        <w:t xml:space="preserve"> class="</w:t>
      </w:r>
      <w:proofErr w:type="spellStart"/>
      <w:r w:rsidRPr="009A6596">
        <w:rPr>
          <w:rFonts w:ascii="Times New Roman" w:eastAsia="Times New Roman" w:hAnsi="Times New Roman" w:cs="Times New Roman"/>
          <w:sz w:val="24"/>
          <w:szCs w:val="24"/>
        </w:rPr>
        <w:t>alignleft</w:t>
      </w:r>
      <w:proofErr w:type="spellEnd"/>
      <w:r w:rsidRPr="009A6596">
        <w:rPr>
          <w:rFonts w:ascii="Times New Roman" w:eastAsia="Times New Roman" w:hAnsi="Times New Roman" w:cs="Times New Roman"/>
          <w:sz w:val="24"/>
          <w:szCs w:val="24"/>
        </w:rPr>
        <w:t xml:space="preserve"> size-full wp-image-48269" title="</w:t>
      </w:r>
      <w:proofErr w:type="spellStart"/>
      <w:r w:rsidRPr="009A6596">
        <w:rPr>
          <w:rFonts w:ascii="Times New Roman" w:eastAsia="Times New Roman" w:hAnsi="Times New Roman" w:cs="Times New Roman"/>
          <w:sz w:val="24"/>
          <w:szCs w:val="24"/>
        </w:rPr>
        <w:t>elaine-weiss-epi</w:t>
      </w:r>
      <w:proofErr w:type="spellEnd"/>
      <w:r w:rsidRPr="009A6596">
        <w:rPr>
          <w:rFonts w:ascii="Times New Roman" w:eastAsia="Times New Roman" w:hAnsi="Times New Roman" w:cs="Times New Roman"/>
          <w:sz w:val="24"/>
          <w:szCs w:val="24"/>
        </w:rPr>
        <w:t>" src="http://cdn.billmoyers.com/wp-content/uploads/2013/11/elaine-weiss-epi.jpg" alt="Elaine Weiss, Economic Policy Institute" width="81" /&amp;</w:t>
      </w:r>
      <w:proofErr w:type="spellStart"/>
      <w:r w:rsidRPr="009A6596">
        <w:rPr>
          <w:rFonts w:ascii="Times New Roman" w:eastAsia="Times New Roman" w:hAnsi="Times New Roman" w:cs="Times New Roman"/>
          <w:sz w:val="24"/>
          <w:szCs w:val="24"/>
        </w:rPr>
        <w:t>gt</w:t>
      </w:r>
      <w:proofErr w:type="spellEnd"/>
      <w:r w:rsidRPr="009A6596">
        <w:rPr>
          <w:rFonts w:ascii="Times New Roman" w:eastAsia="Times New Roman" w:hAnsi="Times New Roman" w:cs="Times New Roman"/>
          <w:sz w:val="24"/>
          <w:szCs w:val="24"/>
        </w:rPr>
        <w:t>;</w:t>
      </w:r>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b/>
          <w:bCs/>
          <w:sz w:val="24"/>
          <w:szCs w:val="24"/>
        </w:rPr>
        <w:t>Elaine Weiss</w:t>
      </w:r>
      <w:r w:rsidRPr="009A6596">
        <w:rPr>
          <w:rFonts w:ascii="Times New Roman" w:eastAsia="Times New Roman" w:hAnsi="Times New Roman" w:cs="Times New Roman"/>
          <w:sz w:val="24"/>
          <w:szCs w:val="24"/>
        </w:rPr>
        <w:t xml:space="preserve"> is the national coordinator for the Broader Bolder Approach to Education (BBA), where she works with a high-level task force and coalition partners to promote a comprehensive, evidence-based set of policies to allow all children to thrive.</w:t>
      </w:r>
    </w:p>
    <w:p w:rsidR="009A6596" w:rsidRPr="009A6596" w:rsidRDefault="009A6596" w:rsidP="009A6596">
      <w:pPr>
        <w:spacing w:after="0" w:line="240" w:lineRule="auto"/>
        <w:rPr>
          <w:rFonts w:ascii="Times New Roman" w:eastAsia="Times New Roman" w:hAnsi="Times New Roman" w:cs="Times New Roman"/>
          <w:sz w:val="24"/>
          <w:szCs w:val="24"/>
        </w:rPr>
      </w:pPr>
      <w:hyperlink r:id="rId22" w:history="1">
        <w:r w:rsidRPr="009A6596">
          <w:rPr>
            <w:rFonts w:ascii="Times New Roman" w:eastAsia="Times New Roman" w:hAnsi="Times New Roman" w:cs="Times New Roman"/>
            <w:color w:val="0000FF"/>
            <w:sz w:val="24"/>
            <w:szCs w:val="24"/>
            <w:u w:val="single"/>
          </w:rPr>
          <w:t xml:space="preserve">&amp;lt;img src="http://cdn.billmoyers.com/wp-content/uploads/2014/01/THOMASCUT.jpg" alt="Thomas </w:t>
        </w:r>
        <w:proofErr w:type="spellStart"/>
        <w:r w:rsidRPr="009A6596">
          <w:rPr>
            <w:rFonts w:ascii="Times New Roman" w:eastAsia="Times New Roman" w:hAnsi="Times New Roman" w:cs="Times New Roman"/>
            <w:color w:val="0000FF"/>
            <w:sz w:val="24"/>
            <w:szCs w:val="24"/>
            <w:u w:val="single"/>
          </w:rPr>
          <w:t>Payzant</w:t>
        </w:r>
        <w:proofErr w:type="spellEnd"/>
        <w:r w:rsidRPr="009A6596">
          <w:rPr>
            <w:rFonts w:ascii="Times New Roman" w:eastAsia="Times New Roman" w:hAnsi="Times New Roman" w:cs="Times New Roman"/>
            <w:color w:val="0000FF"/>
            <w:sz w:val="24"/>
            <w:szCs w:val="24"/>
            <w:u w:val="single"/>
          </w:rPr>
          <w:t>" title="THOMASCUT" width="81" height="80" class="</w:t>
        </w:r>
        <w:proofErr w:type="spellStart"/>
        <w:r w:rsidRPr="009A6596">
          <w:rPr>
            <w:rFonts w:ascii="Times New Roman" w:eastAsia="Times New Roman" w:hAnsi="Times New Roman" w:cs="Times New Roman"/>
            <w:color w:val="0000FF"/>
            <w:sz w:val="24"/>
            <w:szCs w:val="24"/>
            <w:u w:val="single"/>
          </w:rPr>
          <w:t>alignleft</w:t>
        </w:r>
        <w:proofErr w:type="spellEnd"/>
        <w:r w:rsidRPr="009A6596">
          <w:rPr>
            <w:rFonts w:ascii="Times New Roman" w:eastAsia="Times New Roman" w:hAnsi="Times New Roman" w:cs="Times New Roman"/>
            <w:color w:val="0000FF"/>
            <w:sz w:val="24"/>
            <w:szCs w:val="24"/>
            <w:u w:val="single"/>
          </w:rPr>
          <w:t xml:space="preserve"> size-full wp-image-57623" /&amp;</w:t>
        </w:r>
        <w:proofErr w:type="spellStart"/>
        <w:r w:rsidRPr="009A6596">
          <w:rPr>
            <w:rFonts w:ascii="Times New Roman" w:eastAsia="Times New Roman" w:hAnsi="Times New Roman" w:cs="Times New Roman"/>
            <w:color w:val="0000FF"/>
            <w:sz w:val="24"/>
            <w:szCs w:val="24"/>
            <w:u w:val="single"/>
          </w:rPr>
          <w:t>gt</w:t>
        </w:r>
        <w:proofErr w:type="spellEnd"/>
        <w:r w:rsidRPr="009A6596">
          <w:rPr>
            <w:rFonts w:ascii="Times New Roman" w:eastAsia="Times New Roman" w:hAnsi="Times New Roman" w:cs="Times New Roman"/>
            <w:color w:val="0000FF"/>
            <w:sz w:val="24"/>
            <w:szCs w:val="24"/>
            <w:u w:val="single"/>
          </w:rPr>
          <w:t>;</w:t>
        </w:r>
      </w:hyperlink>
    </w:p>
    <w:p w:rsidR="009A6596" w:rsidRPr="009A6596" w:rsidRDefault="009A6596" w:rsidP="009A6596">
      <w:pPr>
        <w:spacing w:after="0" w:line="240" w:lineRule="auto"/>
        <w:rPr>
          <w:rFonts w:ascii="Times New Roman" w:eastAsia="Times New Roman" w:hAnsi="Times New Roman" w:cs="Times New Roman"/>
          <w:sz w:val="24"/>
          <w:szCs w:val="24"/>
        </w:rPr>
      </w:pPr>
      <w:r w:rsidRPr="009A6596">
        <w:rPr>
          <w:rFonts w:ascii="Times New Roman" w:eastAsia="Times New Roman" w:hAnsi="Times New Roman" w:cs="Times New Roman"/>
          <w:b/>
          <w:bCs/>
          <w:sz w:val="24"/>
          <w:szCs w:val="24"/>
        </w:rPr>
        <w:t xml:space="preserve">Thomas W. </w:t>
      </w:r>
      <w:proofErr w:type="spellStart"/>
      <w:r w:rsidRPr="009A6596">
        <w:rPr>
          <w:rFonts w:ascii="Times New Roman" w:eastAsia="Times New Roman" w:hAnsi="Times New Roman" w:cs="Times New Roman"/>
          <w:b/>
          <w:bCs/>
          <w:sz w:val="24"/>
          <w:szCs w:val="24"/>
        </w:rPr>
        <w:t>Payzant</w:t>
      </w:r>
      <w:proofErr w:type="spellEnd"/>
      <w:r w:rsidRPr="009A6596">
        <w:rPr>
          <w:rFonts w:ascii="Times New Roman" w:eastAsia="Times New Roman" w:hAnsi="Times New Roman" w:cs="Times New Roman"/>
          <w:sz w:val="24"/>
          <w:szCs w:val="24"/>
        </w:rPr>
        <w:t xml:space="preserve"> is a BBA co-chair and former Boston Public Schools superintendent, 1995-2006.</w:t>
      </w:r>
    </w:p>
    <w:p w:rsidR="009A6596" w:rsidRPr="009A6596" w:rsidRDefault="009A6596" w:rsidP="009A6596">
      <w:pPr>
        <w:spacing w:before="100" w:beforeAutospacing="1" w:after="100" w:afterAutospacing="1" w:line="240" w:lineRule="auto"/>
        <w:outlineLvl w:val="2"/>
        <w:rPr>
          <w:rFonts w:ascii="Times New Roman" w:eastAsia="Times New Roman" w:hAnsi="Times New Roman" w:cs="Times New Roman"/>
          <w:b/>
          <w:bCs/>
          <w:sz w:val="27"/>
          <w:szCs w:val="27"/>
        </w:rPr>
      </w:pPr>
      <w:r w:rsidRPr="009A6596">
        <w:rPr>
          <w:rFonts w:ascii="Times New Roman" w:eastAsia="Times New Roman" w:hAnsi="Times New Roman" w:cs="Times New Roman"/>
          <w:b/>
          <w:bCs/>
          <w:sz w:val="27"/>
          <w:szCs w:val="27"/>
        </w:rPr>
        <w:t>Related Features</w:t>
      </w:r>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3" w:history="1">
        <w:r w:rsidRPr="009A6596">
          <w:rPr>
            <w:rFonts w:ascii="Times New Roman" w:eastAsia="Times New Roman" w:hAnsi="Times New Roman" w:cs="Times New Roman"/>
            <w:color w:val="0000FF"/>
            <w:sz w:val="24"/>
            <w:szCs w:val="24"/>
            <w:u w:val="single"/>
          </w:rPr>
          <w:t xml:space="preserve">Michael </w:t>
        </w:r>
        <w:proofErr w:type="spellStart"/>
        <w:r w:rsidRPr="009A6596">
          <w:rPr>
            <w:rFonts w:ascii="Times New Roman" w:eastAsia="Times New Roman" w:hAnsi="Times New Roman" w:cs="Times New Roman"/>
            <w:color w:val="0000FF"/>
            <w:sz w:val="24"/>
            <w:szCs w:val="24"/>
            <w:u w:val="single"/>
          </w:rPr>
          <w:t>Pollan</w:t>
        </w:r>
        <w:proofErr w:type="spellEnd"/>
        <w:r w:rsidRPr="009A6596">
          <w:rPr>
            <w:rFonts w:ascii="Times New Roman" w:eastAsia="Times New Roman" w:hAnsi="Times New Roman" w:cs="Times New Roman"/>
            <w:color w:val="0000FF"/>
            <w:sz w:val="24"/>
            <w:szCs w:val="24"/>
            <w:u w:val="single"/>
          </w:rPr>
          <w:t xml:space="preserve"> on Rethinking School Lunch</w:t>
        </w:r>
      </w:hyperlink>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4" w:history="1">
        <w:r w:rsidRPr="009A6596">
          <w:rPr>
            <w:rFonts w:ascii="Times New Roman" w:eastAsia="Times New Roman" w:hAnsi="Times New Roman" w:cs="Times New Roman"/>
            <w:color w:val="0000FF"/>
            <w:sz w:val="24"/>
            <w:szCs w:val="24"/>
            <w:u w:val="single"/>
          </w:rPr>
          <w:t>DOJ to Schools: Stop Sending Kids to Jail for Breaking the Rules</w:t>
        </w:r>
      </w:hyperlink>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5" w:history="1">
        <w:r w:rsidRPr="009A6596">
          <w:rPr>
            <w:rFonts w:ascii="Times New Roman" w:eastAsia="Times New Roman" w:hAnsi="Times New Roman" w:cs="Times New Roman"/>
            <w:color w:val="0000FF"/>
            <w:sz w:val="24"/>
            <w:szCs w:val="24"/>
            <w:u w:val="single"/>
          </w:rPr>
          <w:t>New Data Shows School ‘Reformers’ Are Getting it Wrong</w:t>
        </w:r>
      </w:hyperlink>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6" w:history="1">
        <w:r w:rsidRPr="009A6596">
          <w:rPr>
            <w:rFonts w:ascii="Times New Roman" w:eastAsia="Times New Roman" w:hAnsi="Times New Roman" w:cs="Times New Roman"/>
            <w:color w:val="0000FF"/>
            <w:sz w:val="24"/>
            <w:szCs w:val="24"/>
            <w:u w:val="single"/>
          </w:rPr>
          <w:t>We Must Out-Educate and Out-Innovate Other Nations</w:t>
        </w:r>
      </w:hyperlink>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7" w:history="1">
        <w:r w:rsidRPr="009A6596">
          <w:rPr>
            <w:rFonts w:ascii="Times New Roman" w:eastAsia="Times New Roman" w:hAnsi="Times New Roman" w:cs="Times New Roman"/>
            <w:color w:val="0000FF"/>
            <w:sz w:val="24"/>
            <w:szCs w:val="24"/>
            <w:u w:val="single"/>
          </w:rPr>
          <w:t>“The New Public” Tackles Poverty and Education</w:t>
        </w:r>
      </w:hyperlink>
    </w:p>
    <w:p w:rsidR="009A6596" w:rsidRPr="009A6596" w:rsidRDefault="009A6596" w:rsidP="009A6596">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28" w:history="1">
        <w:r w:rsidRPr="009A6596">
          <w:rPr>
            <w:rFonts w:ascii="Times New Roman" w:eastAsia="Times New Roman" w:hAnsi="Times New Roman" w:cs="Times New Roman"/>
            <w:color w:val="0000FF"/>
            <w:sz w:val="24"/>
            <w:szCs w:val="24"/>
            <w:u w:val="single"/>
          </w:rPr>
          <w:t>The Real 21st-Century Problem in Public Education is Poverty</w:t>
        </w:r>
      </w:hyperlink>
    </w:p>
    <w:p w:rsidR="00664286" w:rsidRDefault="00664286">
      <w:bookmarkStart w:id="0" w:name="_GoBack"/>
      <w:bookmarkEnd w:id="0"/>
    </w:p>
    <w:sectPr w:rsidR="00664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29D77CFB" w:usb2="00000012" w:usb3="00000000" w:csb0="0008008D"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60A12"/>
    <w:multiLevelType w:val="multilevel"/>
    <w:tmpl w:val="28BCF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B552E3"/>
    <w:multiLevelType w:val="multilevel"/>
    <w:tmpl w:val="3D0C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596"/>
    <w:rsid w:val="00664286"/>
    <w:rsid w:val="009A659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5FE661-9A86-489D-AE2F-16E93A49E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A659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A659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6596"/>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A6596"/>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9A6596"/>
    <w:rPr>
      <w:color w:val="0000FF"/>
      <w:u w:val="single"/>
    </w:rPr>
  </w:style>
  <w:style w:type="paragraph" w:styleId="NormalWeb">
    <w:name w:val="Normal (Web)"/>
    <w:basedOn w:val="Normal"/>
    <w:uiPriority w:val="99"/>
    <w:semiHidden/>
    <w:unhideWhenUsed/>
    <w:rsid w:val="009A659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A6596"/>
    <w:rPr>
      <w:i/>
      <w:iCs/>
    </w:rPr>
  </w:style>
  <w:style w:type="paragraph" w:customStyle="1" w:styleId="wp-caption-text">
    <w:name w:val="wp-caption-text"/>
    <w:basedOn w:val="Normal"/>
    <w:rsid w:val="009A659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A65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8699024">
      <w:bodyDiv w:val="1"/>
      <w:marLeft w:val="0"/>
      <w:marRight w:val="0"/>
      <w:marTop w:val="0"/>
      <w:marBottom w:val="0"/>
      <w:divBdr>
        <w:top w:val="none" w:sz="0" w:space="0" w:color="auto"/>
        <w:left w:val="none" w:sz="0" w:space="0" w:color="auto"/>
        <w:bottom w:val="none" w:sz="0" w:space="0" w:color="auto"/>
        <w:right w:val="none" w:sz="0" w:space="0" w:color="auto"/>
      </w:divBdr>
      <w:divsChild>
        <w:div w:id="1166362305">
          <w:marLeft w:val="0"/>
          <w:marRight w:val="0"/>
          <w:marTop w:val="0"/>
          <w:marBottom w:val="0"/>
          <w:divBdr>
            <w:top w:val="none" w:sz="0" w:space="0" w:color="auto"/>
            <w:left w:val="none" w:sz="0" w:space="0" w:color="auto"/>
            <w:bottom w:val="none" w:sz="0" w:space="0" w:color="auto"/>
            <w:right w:val="none" w:sz="0" w:space="0" w:color="auto"/>
          </w:divBdr>
          <w:divsChild>
            <w:div w:id="128017073">
              <w:marLeft w:val="0"/>
              <w:marRight w:val="0"/>
              <w:marTop w:val="0"/>
              <w:marBottom w:val="0"/>
              <w:divBdr>
                <w:top w:val="none" w:sz="0" w:space="0" w:color="auto"/>
                <w:left w:val="none" w:sz="0" w:space="0" w:color="auto"/>
                <w:bottom w:val="none" w:sz="0" w:space="0" w:color="auto"/>
                <w:right w:val="none" w:sz="0" w:space="0" w:color="auto"/>
              </w:divBdr>
              <w:divsChild>
                <w:div w:id="1471287441">
                  <w:marLeft w:val="0"/>
                  <w:marRight w:val="0"/>
                  <w:marTop w:val="0"/>
                  <w:marBottom w:val="0"/>
                  <w:divBdr>
                    <w:top w:val="none" w:sz="0" w:space="0" w:color="auto"/>
                    <w:left w:val="none" w:sz="0" w:space="0" w:color="auto"/>
                    <w:bottom w:val="none" w:sz="0" w:space="0" w:color="auto"/>
                    <w:right w:val="none" w:sz="0" w:space="0" w:color="auto"/>
                  </w:divBdr>
                  <w:divsChild>
                    <w:div w:id="1428842996">
                      <w:marLeft w:val="0"/>
                      <w:marRight w:val="0"/>
                      <w:marTop w:val="0"/>
                      <w:marBottom w:val="0"/>
                      <w:divBdr>
                        <w:top w:val="none" w:sz="0" w:space="0" w:color="auto"/>
                        <w:left w:val="none" w:sz="0" w:space="0" w:color="auto"/>
                        <w:bottom w:val="none" w:sz="0" w:space="0" w:color="auto"/>
                        <w:right w:val="none" w:sz="0" w:space="0" w:color="auto"/>
                      </w:divBdr>
                      <w:divsChild>
                        <w:div w:id="2040274507">
                          <w:marLeft w:val="0"/>
                          <w:marRight w:val="0"/>
                          <w:marTop w:val="0"/>
                          <w:marBottom w:val="0"/>
                          <w:divBdr>
                            <w:top w:val="none" w:sz="0" w:space="0" w:color="auto"/>
                            <w:left w:val="none" w:sz="0" w:space="0" w:color="auto"/>
                            <w:bottom w:val="none" w:sz="0" w:space="0" w:color="auto"/>
                            <w:right w:val="none" w:sz="0" w:space="0" w:color="auto"/>
                          </w:divBdr>
                        </w:div>
                        <w:div w:id="675152250">
                          <w:marLeft w:val="0"/>
                          <w:marRight w:val="0"/>
                          <w:marTop w:val="0"/>
                          <w:marBottom w:val="0"/>
                          <w:divBdr>
                            <w:top w:val="none" w:sz="0" w:space="0" w:color="auto"/>
                            <w:left w:val="none" w:sz="0" w:space="0" w:color="auto"/>
                            <w:bottom w:val="none" w:sz="0" w:space="0" w:color="auto"/>
                            <w:right w:val="none" w:sz="0" w:space="0" w:color="auto"/>
                          </w:divBdr>
                        </w:div>
                        <w:div w:id="556749045">
                          <w:marLeft w:val="0"/>
                          <w:marRight w:val="0"/>
                          <w:marTop w:val="0"/>
                          <w:marBottom w:val="0"/>
                          <w:divBdr>
                            <w:top w:val="none" w:sz="0" w:space="0" w:color="auto"/>
                            <w:left w:val="none" w:sz="0" w:space="0" w:color="auto"/>
                            <w:bottom w:val="none" w:sz="0" w:space="0" w:color="auto"/>
                            <w:right w:val="none" w:sz="0" w:space="0" w:color="auto"/>
                          </w:divBdr>
                        </w:div>
                        <w:div w:id="630214062">
                          <w:marLeft w:val="0"/>
                          <w:marRight w:val="0"/>
                          <w:marTop w:val="0"/>
                          <w:marBottom w:val="0"/>
                          <w:divBdr>
                            <w:top w:val="none" w:sz="0" w:space="0" w:color="auto"/>
                            <w:left w:val="none" w:sz="0" w:space="0" w:color="auto"/>
                            <w:bottom w:val="none" w:sz="0" w:space="0" w:color="auto"/>
                            <w:right w:val="none" w:sz="0" w:space="0" w:color="auto"/>
                          </w:divBdr>
                          <w:divsChild>
                            <w:div w:id="1339306662">
                              <w:marLeft w:val="0"/>
                              <w:marRight w:val="0"/>
                              <w:marTop w:val="0"/>
                              <w:marBottom w:val="0"/>
                              <w:divBdr>
                                <w:top w:val="none" w:sz="0" w:space="0" w:color="auto"/>
                                <w:left w:val="none" w:sz="0" w:space="0" w:color="auto"/>
                                <w:bottom w:val="none" w:sz="0" w:space="0" w:color="auto"/>
                                <w:right w:val="none" w:sz="0" w:space="0" w:color="auto"/>
                              </w:divBdr>
                              <w:divsChild>
                                <w:div w:id="45039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719674">
                          <w:marLeft w:val="0"/>
                          <w:marRight w:val="0"/>
                          <w:marTop w:val="0"/>
                          <w:marBottom w:val="0"/>
                          <w:divBdr>
                            <w:top w:val="none" w:sz="0" w:space="0" w:color="auto"/>
                            <w:left w:val="none" w:sz="0" w:space="0" w:color="auto"/>
                            <w:bottom w:val="none" w:sz="0" w:space="0" w:color="auto"/>
                            <w:right w:val="none" w:sz="0" w:space="0" w:color="auto"/>
                          </w:divBdr>
                          <w:divsChild>
                            <w:div w:id="640228592">
                              <w:marLeft w:val="0"/>
                              <w:marRight w:val="0"/>
                              <w:marTop w:val="0"/>
                              <w:marBottom w:val="0"/>
                              <w:divBdr>
                                <w:top w:val="none" w:sz="0" w:space="0" w:color="auto"/>
                                <w:left w:val="none" w:sz="0" w:space="0" w:color="auto"/>
                                <w:bottom w:val="none" w:sz="0" w:space="0" w:color="auto"/>
                                <w:right w:val="none" w:sz="0" w:space="0" w:color="auto"/>
                              </w:divBdr>
                            </w:div>
                            <w:div w:id="589856523">
                              <w:marLeft w:val="0"/>
                              <w:marRight w:val="0"/>
                              <w:marTop w:val="0"/>
                              <w:marBottom w:val="0"/>
                              <w:divBdr>
                                <w:top w:val="none" w:sz="0" w:space="0" w:color="auto"/>
                                <w:left w:val="none" w:sz="0" w:space="0" w:color="auto"/>
                                <w:bottom w:val="none" w:sz="0" w:space="0" w:color="auto"/>
                                <w:right w:val="none" w:sz="0" w:space="0" w:color="auto"/>
                              </w:divBdr>
                            </w:div>
                            <w:div w:id="1821968223">
                              <w:marLeft w:val="0"/>
                              <w:marRight w:val="0"/>
                              <w:marTop w:val="0"/>
                              <w:marBottom w:val="0"/>
                              <w:divBdr>
                                <w:top w:val="none" w:sz="0" w:space="0" w:color="auto"/>
                                <w:left w:val="none" w:sz="0" w:space="0" w:color="auto"/>
                                <w:bottom w:val="none" w:sz="0" w:space="0" w:color="auto"/>
                                <w:right w:val="none" w:sz="0" w:space="0" w:color="auto"/>
                              </w:divBdr>
                            </w:div>
                            <w:div w:id="1800999948">
                              <w:marLeft w:val="0"/>
                              <w:marRight w:val="0"/>
                              <w:marTop w:val="0"/>
                              <w:marBottom w:val="0"/>
                              <w:divBdr>
                                <w:top w:val="none" w:sz="0" w:space="0" w:color="auto"/>
                                <w:left w:val="none" w:sz="0" w:space="0" w:color="auto"/>
                                <w:bottom w:val="none" w:sz="0" w:space="0" w:color="auto"/>
                                <w:right w:val="none" w:sz="0" w:space="0" w:color="auto"/>
                              </w:divBdr>
                              <w:divsChild>
                                <w:div w:id="1352487019">
                                  <w:marLeft w:val="0"/>
                                  <w:marRight w:val="0"/>
                                  <w:marTop w:val="0"/>
                                  <w:marBottom w:val="0"/>
                                  <w:divBdr>
                                    <w:top w:val="none" w:sz="0" w:space="0" w:color="auto"/>
                                    <w:left w:val="none" w:sz="0" w:space="0" w:color="auto"/>
                                    <w:bottom w:val="none" w:sz="0" w:space="0" w:color="auto"/>
                                    <w:right w:val="none" w:sz="0" w:space="0" w:color="auto"/>
                                  </w:divBdr>
                                </w:div>
                                <w:div w:id="675886692">
                                  <w:marLeft w:val="0"/>
                                  <w:marRight w:val="0"/>
                                  <w:marTop w:val="0"/>
                                  <w:marBottom w:val="0"/>
                                  <w:divBdr>
                                    <w:top w:val="none" w:sz="0" w:space="0" w:color="auto"/>
                                    <w:left w:val="none" w:sz="0" w:space="0" w:color="auto"/>
                                    <w:bottom w:val="none" w:sz="0" w:space="0" w:color="auto"/>
                                    <w:right w:val="none" w:sz="0" w:space="0" w:color="auto"/>
                                  </w:divBdr>
                                </w:div>
                                <w:div w:id="918905153">
                                  <w:marLeft w:val="0"/>
                                  <w:marRight w:val="0"/>
                                  <w:marTop w:val="0"/>
                                  <w:marBottom w:val="0"/>
                                  <w:divBdr>
                                    <w:top w:val="none" w:sz="0" w:space="0" w:color="auto"/>
                                    <w:left w:val="none" w:sz="0" w:space="0" w:color="auto"/>
                                    <w:bottom w:val="none" w:sz="0" w:space="0" w:color="auto"/>
                                    <w:right w:val="none" w:sz="0" w:space="0" w:color="auto"/>
                                  </w:divBdr>
                                </w:div>
                                <w:div w:id="74969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22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saday.org/" TargetMode="External"/><Relationship Id="rId13" Type="http://schemas.openxmlformats.org/officeDocument/2006/relationships/hyperlink" Target="http://nces.ed.gov/pubs2012/pesschools10/tables/table_03.asp" TargetMode="External"/><Relationship Id="rId18" Type="http://schemas.openxmlformats.org/officeDocument/2006/relationships/hyperlink" Target="http://www.epi.org/publication/books_class_and_schools/" TargetMode="External"/><Relationship Id="rId26" Type="http://schemas.openxmlformats.org/officeDocument/2006/relationships/hyperlink" Target="http://billmoyers.com/groupthink/state-of-the-union-responses/we-must-out-educate-and-out-innovate-other-nations/" TargetMode="External"/><Relationship Id="rId3" Type="http://schemas.openxmlformats.org/officeDocument/2006/relationships/settings" Target="settings.xml"/><Relationship Id="rId21" Type="http://schemas.openxmlformats.org/officeDocument/2006/relationships/hyperlink" Target="http://www.boldapproach.org/" TargetMode="External"/><Relationship Id="rId7" Type="http://schemas.openxmlformats.org/officeDocument/2006/relationships/hyperlink" Target="http://www.economist.com/blogs/graphicdetail/2013/12/daily-chart-1" TargetMode="External"/><Relationship Id="rId12" Type="http://schemas.openxmlformats.org/officeDocument/2006/relationships/hyperlink" Target="http://indianapublicmedia.org/stateimpact/2013/08/01/report-tony-bennett-resigning-top-education-job-in-florida/" TargetMode="External"/><Relationship Id="rId17" Type="http://schemas.openxmlformats.org/officeDocument/2006/relationships/hyperlink" Target="http://en.wikipedia.org/wiki/List_of_U.S._states_by_income" TargetMode="External"/><Relationship Id="rId25" Type="http://schemas.openxmlformats.org/officeDocument/2006/relationships/hyperlink" Target="http://billmoyers.com/2013/06/07/new-data-shows-school-reformers-are-getting-it-wrong/" TargetMode="External"/><Relationship Id="rId2" Type="http://schemas.openxmlformats.org/officeDocument/2006/relationships/styles" Target="styles.xml"/><Relationship Id="rId16" Type="http://schemas.openxmlformats.org/officeDocument/2006/relationships/hyperlink" Target="http://billmoyers.com/2013/11/06/the-real-21st-century-problem-in-public-education-is-poverty/" TargetMode="External"/><Relationship Id="rId20" Type="http://schemas.openxmlformats.org/officeDocument/2006/relationships/hyperlink" Target="http://billmoyers.com/2012/12/20/an-education-holiday-wish-list/"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economist.com/blogs/graphicdetail/2013/12/daily-chart-1" TargetMode="External"/><Relationship Id="rId11" Type="http://schemas.openxmlformats.org/officeDocument/2006/relationships/hyperlink" Target="http://cdn.billmoyers.com/wp-content/uploads/2013/11/AP57207619344.jpg" TargetMode="External"/><Relationship Id="rId24" Type="http://schemas.openxmlformats.org/officeDocument/2006/relationships/hyperlink" Target="http://billmoyers.com/2014/01/09/doj-to-schools-stop-sending-kids-to-jail-for-breaking-the-rules/" TargetMode="External"/><Relationship Id="rId5" Type="http://schemas.openxmlformats.org/officeDocument/2006/relationships/hyperlink" Target="http://www.huffingtonpost.com/elaine-weiss/pisa-implications_b_4441077.html" TargetMode="External"/><Relationship Id="rId15" Type="http://schemas.openxmlformats.org/officeDocument/2006/relationships/hyperlink" Target="http://www.tampabay.com/blogs/gradebook/content/floridas-big-bad-prekindergarten-program" TargetMode="External"/><Relationship Id="rId23" Type="http://schemas.openxmlformats.org/officeDocument/2006/relationships/hyperlink" Target="http://billmoyers.com/2013/06/30/moyers-moment-2008-michael-pollan-on-rethinking-school-lunch/" TargetMode="External"/><Relationship Id="rId28" Type="http://schemas.openxmlformats.org/officeDocument/2006/relationships/hyperlink" Target="http://billmoyers.com/2013/11/06/the-real-21st-century-problem-in-public-education-is-poverty/" TargetMode="External"/><Relationship Id="rId10" Type="http://schemas.openxmlformats.org/officeDocument/2006/relationships/hyperlink" Target="http://www.boldapproach.org/report" TargetMode="External"/><Relationship Id="rId19" Type="http://schemas.openxmlformats.org/officeDocument/2006/relationships/hyperlink" Target="http://www.schoolfundingfairness.org/ExecutiveSummary_2012.htm" TargetMode="External"/><Relationship Id="rId4" Type="http://schemas.openxmlformats.org/officeDocument/2006/relationships/webSettings" Target="webSettings.xml"/><Relationship Id="rId9" Type="http://schemas.openxmlformats.org/officeDocument/2006/relationships/hyperlink" Target="http://www.oecd.org/pisa/keyfindings/pisa-2012-results-volume-I.pdf" TargetMode="External"/><Relationship Id="rId14" Type="http://schemas.openxmlformats.org/officeDocument/2006/relationships/hyperlink" Target="http://blogs.edweek.org/teachers/living-in-dialogue/2012/11/florida_school_closures_why_ar.html" TargetMode="External"/><Relationship Id="rId22" Type="http://schemas.openxmlformats.org/officeDocument/2006/relationships/hyperlink" Target="http://cdn.billmoyers.com/wp-content/uploads/2014/01/THOMASCUT.jpg" TargetMode="External"/><Relationship Id="rId27" Type="http://schemas.openxmlformats.org/officeDocument/2006/relationships/hyperlink" Target="http://billmoyers.com/2013/11/12/the-new-public-tackles-poverty-and-education/"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1573</Words>
  <Characters>8969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2014-03-01T07:36:00Z</dcterms:created>
  <dcterms:modified xsi:type="dcterms:W3CDTF">2014-03-01T07:38:00Z</dcterms:modified>
</cp:coreProperties>
</file>